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70434" w14:textId="77777777" w:rsidR="00D267A1" w:rsidRPr="00D267A1" w:rsidRDefault="00D267A1" w:rsidP="00C734CA">
      <w:pPr>
        <w:spacing w:after="0" w:line="225" w:lineRule="atLeast"/>
        <w:rPr>
          <w:rFonts w:ascii="Arial" w:eastAsia="Times New Roman" w:hAnsi="Arial" w:cs="Arial"/>
          <w:b/>
          <w:sz w:val="24"/>
          <w:szCs w:val="24"/>
          <w:lang w:eastAsia="en-GB"/>
        </w:rPr>
      </w:pPr>
      <w:r w:rsidRPr="00D267A1">
        <w:rPr>
          <w:rFonts w:ascii="Arial" w:eastAsia="Times New Roman" w:hAnsi="Arial" w:cs="Arial"/>
          <w:b/>
          <w:sz w:val="24"/>
          <w:szCs w:val="24"/>
          <w:lang w:eastAsia="en-GB"/>
        </w:rPr>
        <w:t xml:space="preserve">RBC Structured Notes (UK) Disclaimer </w:t>
      </w:r>
    </w:p>
    <w:p w14:paraId="76EF9B0A" w14:textId="77777777" w:rsidR="00D267A1" w:rsidRPr="00D267A1" w:rsidRDefault="00D267A1" w:rsidP="00C734CA">
      <w:pPr>
        <w:spacing w:after="0" w:line="225" w:lineRule="atLeast"/>
        <w:rPr>
          <w:rFonts w:ascii="Arial" w:eastAsia="Times New Roman" w:hAnsi="Arial" w:cs="Arial"/>
          <w:sz w:val="20"/>
          <w:szCs w:val="20"/>
          <w:lang w:eastAsia="en-GB"/>
        </w:rPr>
      </w:pPr>
    </w:p>
    <w:p w14:paraId="2A473214" w14:textId="71FCA198"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 xml:space="preserve">This website </w:t>
      </w:r>
      <w:r w:rsidR="00D267A1" w:rsidRPr="00D267A1">
        <w:rPr>
          <w:rFonts w:ascii="Arial" w:eastAsia="Times New Roman" w:hAnsi="Arial" w:cs="Arial"/>
          <w:sz w:val="20"/>
          <w:szCs w:val="20"/>
          <w:lang w:eastAsia="en-GB"/>
        </w:rPr>
        <w:t xml:space="preserve">may </w:t>
      </w:r>
      <w:r w:rsidRPr="00D267A1">
        <w:rPr>
          <w:rFonts w:ascii="Arial" w:eastAsia="Times New Roman" w:hAnsi="Arial" w:cs="Arial"/>
          <w:sz w:val="20"/>
          <w:szCs w:val="20"/>
          <w:lang w:eastAsia="en-GB"/>
        </w:rPr>
        <w:t>contain</w:t>
      </w:r>
      <w:r w:rsidR="00D267A1" w:rsidRPr="00D267A1">
        <w:rPr>
          <w:rFonts w:ascii="Arial" w:eastAsia="Times New Roman" w:hAnsi="Arial" w:cs="Arial"/>
          <w:sz w:val="20"/>
          <w:szCs w:val="20"/>
          <w:lang w:eastAsia="en-GB"/>
        </w:rPr>
        <w:t xml:space="preserve"> or reference </w:t>
      </w:r>
      <w:r w:rsidRPr="00D267A1">
        <w:rPr>
          <w:rFonts w:ascii="Arial" w:eastAsia="Times New Roman" w:hAnsi="Arial" w:cs="Arial"/>
          <w:sz w:val="20"/>
          <w:szCs w:val="20"/>
          <w:lang w:eastAsia="en-GB"/>
        </w:rPr>
        <w:t>information about complex financial products (the </w:t>
      </w:r>
      <w:r w:rsidRPr="00D267A1">
        <w:rPr>
          <w:rFonts w:ascii="Arial" w:eastAsia="Times New Roman" w:hAnsi="Arial" w:cs="Arial"/>
          <w:b/>
          <w:bCs/>
          <w:sz w:val="20"/>
          <w:szCs w:val="20"/>
          <w:lang w:eastAsia="en-GB"/>
        </w:rPr>
        <w:t>Products</w:t>
      </w:r>
      <w:r w:rsidRPr="00D267A1">
        <w:rPr>
          <w:rFonts w:ascii="Arial" w:eastAsia="Times New Roman" w:hAnsi="Arial" w:cs="Arial"/>
          <w:sz w:val="20"/>
          <w:szCs w:val="20"/>
          <w:lang w:eastAsia="en-GB"/>
        </w:rPr>
        <w:t>) that RBC Europe Limited and /or Royal Bank of Canada may market from time to time. Information in this website about the Products is provided for informational purposes only. If you do not have adequate understanding and experience of complex financial products, you should not access, or rely upon, any information contained in this website.</w:t>
      </w:r>
    </w:p>
    <w:p w14:paraId="085904D5" w14:textId="77777777" w:rsidR="00C734CA" w:rsidRPr="00D267A1" w:rsidRDefault="00C734CA" w:rsidP="00C734CA">
      <w:pPr>
        <w:spacing w:after="0" w:line="240" w:lineRule="auto"/>
        <w:rPr>
          <w:rFonts w:ascii="Arial" w:eastAsia="Times New Roman" w:hAnsi="Arial" w:cs="Arial"/>
          <w:sz w:val="20"/>
          <w:szCs w:val="20"/>
          <w:lang w:eastAsia="en-GB"/>
        </w:rPr>
      </w:pPr>
    </w:p>
    <w:p w14:paraId="5A1B1181"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The Products are designed only for, and this website is directed only to, persons who would be categorised as “professional clients” or “eligible counterparties” as defined in the Glossary of the Financial Conduct Authority of the United Kingdom (the </w:t>
      </w:r>
      <w:r w:rsidRPr="00D267A1">
        <w:rPr>
          <w:rFonts w:ascii="Arial" w:eastAsia="Times New Roman" w:hAnsi="Arial" w:cs="Arial"/>
          <w:b/>
          <w:bCs/>
          <w:sz w:val="20"/>
          <w:szCs w:val="20"/>
          <w:lang w:eastAsia="en-GB"/>
        </w:rPr>
        <w:t>FCA</w:t>
      </w:r>
      <w:r w:rsidRPr="00D267A1">
        <w:rPr>
          <w:rFonts w:ascii="Arial" w:eastAsia="Times New Roman" w:hAnsi="Arial" w:cs="Arial"/>
          <w:sz w:val="20"/>
          <w:szCs w:val="20"/>
          <w:lang w:eastAsia="en-GB"/>
        </w:rPr>
        <w:t>).</w:t>
      </w:r>
    </w:p>
    <w:p w14:paraId="5B7B6F8F" w14:textId="77777777" w:rsidR="00C734CA" w:rsidRPr="00D267A1" w:rsidRDefault="00C734CA" w:rsidP="00C734CA">
      <w:pPr>
        <w:spacing w:after="0" w:line="240" w:lineRule="auto"/>
        <w:rPr>
          <w:rFonts w:ascii="Arial" w:eastAsia="Times New Roman" w:hAnsi="Arial" w:cs="Arial"/>
          <w:sz w:val="20"/>
          <w:szCs w:val="20"/>
          <w:lang w:eastAsia="en-GB"/>
        </w:rPr>
      </w:pPr>
    </w:p>
    <w:p w14:paraId="297397CB"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b/>
          <w:bCs/>
          <w:sz w:val="20"/>
          <w:szCs w:val="20"/>
          <w:lang w:eastAsia="en-GB"/>
        </w:rPr>
        <w:t>Typically, a private individual is categorised under the rules of the FCA as a “retail client”. Retail clients must </w:t>
      </w:r>
      <w:r w:rsidRPr="00D267A1">
        <w:rPr>
          <w:rFonts w:ascii="Arial" w:eastAsia="Times New Roman" w:hAnsi="Arial" w:cs="Arial"/>
          <w:b/>
          <w:bCs/>
          <w:sz w:val="20"/>
          <w:szCs w:val="20"/>
          <w:u w:val="single"/>
          <w:lang w:eastAsia="en-GB"/>
        </w:rPr>
        <w:t>not</w:t>
      </w:r>
      <w:r w:rsidRPr="00D267A1">
        <w:rPr>
          <w:rFonts w:ascii="Arial" w:eastAsia="Times New Roman" w:hAnsi="Arial" w:cs="Arial"/>
          <w:b/>
          <w:bCs/>
          <w:sz w:val="20"/>
          <w:szCs w:val="20"/>
          <w:lang w:eastAsia="en-GB"/>
        </w:rPr>
        <w:t> access, rely or act upon the information provided in this website.</w:t>
      </w:r>
    </w:p>
    <w:p w14:paraId="52930E3A" w14:textId="77777777" w:rsidR="00C734CA" w:rsidRPr="00D267A1" w:rsidRDefault="00C734CA" w:rsidP="00C734CA">
      <w:pPr>
        <w:spacing w:after="0" w:line="240" w:lineRule="auto"/>
        <w:rPr>
          <w:rFonts w:ascii="Arial" w:eastAsia="Times New Roman" w:hAnsi="Arial" w:cs="Arial"/>
          <w:sz w:val="20"/>
          <w:szCs w:val="20"/>
          <w:lang w:eastAsia="en-GB"/>
        </w:rPr>
      </w:pPr>
    </w:p>
    <w:p w14:paraId="6E95ABD9"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b/>
          <w:bCs/>
          <w:sz w:val="20"/>
          <w:szCs w:val="20"/>
          <w:lang w:eastAsia="en-GB"/>
        </w:rPr>
        <w:t>Products are </w:t>
      </w:r>
      <w:r w:rsidRPr="00D267A1">
        <w:rPr>
          <w:rFonts w:ascii="Arial" w:eastAsia="Times New Roman" w:hAnsi="Arial" w:cs="Arial"/>
          <w:b/>
          <w:bCs/>
          <w:sz w:val="20"/>
          <w:szCs w:val="20"/>
          <w:u w:val="single"/>
          <w:lang w:eastAsia="en-GB"/>
        </w:rPr>
        <w:t>not</w:t>
      </w:r>
      <w:r w:rsidRPr="00D267A1">
        <w:rPr>
          <w:rFonts w:ascii="Arial" w:eastAsia="Times New Roman" w:hAnsi="Arial" w:cs="Arial"/>
          <w:b/>
          <w:bCs/>
          <w:sz w:val="20"/>
          <w:szCs w:val="20"/>
          <w:lang w:eastAsia="en-GB"/>
        </w:rPr>
        <w:t> available to persons who would be categorised as “retail clients”, as such term is defined by the FCA.</w:t>
      </w:r>
    </w:p>
    <w:p w14:paraId="7EEE896E" w14:textId="77777777" w:rsidR="00C734CA" w:rsidRPr="00D267A1" w:rsidRDefault="00C734CA" w:rsidP="00C734CA">
      <w:pPr>
        <w:spacing w:after="0" w:line="240" w:lineRule="auto"/>
        <w:rPr>
          <w:rFonts w:ascii="Arial" w:eastAsia="Times New Roman" w:hAnsi="Arial" w:cs="Arial"/>
          <w:sz w:val="20"/>
          <w:szCs w:val="20"/>
          <w:lang w:eastAsia="en-GB"/>
        </w:rPr>
      </w:pPr>
    </w:p>
    <w:p w14:paraId="201B4CDB"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If you are unclear as to whether or not you would be categorised as a “professional client” or “eligible counterparty” for the purposes of the FCA’s rules, you should:</w:t>
      </w:r>
    </w:p>
    <w:p w14:paraId="526025D4" w14:textId="77777777" w:rsidR="00C734CA" w:rsidRPr="00D267A1" w:rsidRDefault="00C734CA" w:rsidP="00C734CA">
      <w:pPr>
        <w:numPr>
          <w:ilvl w:val="0"/>
          <w:numId w:val="1"/>
        </w:numPr>
        <w:spacing w:before="100" w:beforeAutospacing="1" w:after="15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seek professional advice before taking any further steps; and</w:t>
      </w:r>
    </w:p>
    <w:p w14:paraId="4D981FAA" w14:textId="77777777" w:rsidR="00C734CA" w:rsidRPr="00D267A1" w:rsidRDefault="00C734CA" w:rsidP="00C734CA">
      <w:pPr>
        <w:numPr>
          <w:ilvl w:val="0"/>
          <w:numId w:val="1"/>
        </w:numPr>
        <w:spacing w:before="100" w:beforeAutospacing="1" w:after="15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assume that the Products are not suitable for you, unless and until you are able to ascertain otherwise.</w:t>
      </w:r>
    </w:p>
    <w:p w14:paraId="60039AF1"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Nothing in this website constitutes an offer, advertisement, recommendation, or solicitation for the purchase or sale of Products. No representation or warranty, express or implied, is made, or responsibility of any kind accepted, by RBC Europe Limited and /or Royal Bank of Canada and its affiliates, or their directors, agents or employees with respect to the completeness or accuracy of information provided in this website. RBC disclaims all liability for any loss, including loss of profits, incurred by you or any third party that may arise from reliance on information contained in this website.</w:t>
      </w:r>
    </w:p>
    <w:p w14:paraId="055BF5C2" w14:textId="77777777" w:rsidR="00C734CA" w:rsidRPr="00D267A1" w:rsidRDefault="00C734CA" w:rsidP="00C734CA">
      <w:pPr>
        <w:spacing w:after="0" w:line="240" w:lineRule="auto"/>
        <w:rPr>
          <w:rFonts w:ascii="Arial" w:eastAsia="Times New Roman" w:hAnsi="Arial" w:cs="Arial"/>
          <w:sz w:val="20"/>
          <w:szCs w:val="20"/>
          <w:lang w:eastAsia="en-GB"/>
        </w:rPr>
      </w:pPr>
    </w:p>
    <w:p w14:paraId="7CA42ADD" w14:textId="45396A8D" w:rsidR="00FE6E8E"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Any person reviewing information provided in this website does so at their own risk and by accessing this website agrees to hold RBC Europe Limited and /or Royal Bank of Canada and its representatives harmless from any costs or expenses incurred by any of them in connection with such review. By accessing this website you have represented to us that you are resident in the United Kingdom.</w:t>
      </w:r>
    </w:p>
    <w:p w14:paraId="0F4BE05A" w14:textId="77777777" w:rsidR="00C734CA" w:rsidRPr="00D267A1" w:rsidRDefault="00C734CA" w:rsidP="00C734CA">
      <w:pPr>
        <w:spacing w:after="0" w:line="240" w:lineRule="auto"/>
        <w:rPr>
          <w:rFonts w:ascii="Arial" w:eastAsia="Times New Roman" w:hAnsi="Arial" w:cs="Arial"/>
          <w:sz w:val="20"/>
          <w:szCs w:val="20"/>
          <w:lang w:eastAsia="en-GB"/>
        </w:rPr>
      </w:pPr>
    </w:p>
    <w:p w14:paraId="6CEA9C02" w14:textId="77777777" w:rsidR="00C734CA" w:rsidRPr="00D267A1" w:rsidRDefault="00C734CA" w:rsidP="00C734CA">
      <w:pPr>
        <w:spacing w:after="60" w:line="300" w:lineRule="atLeast"/>
        <w:outlineLvl w:val="2"/>
        <w:rPr>
          <w:rFonts w:ascii="Arial" w:eastAsia="Times New Roman" w:hAnsi="Arial" w:cs="Arial"/>
          <w:b/>
          <w:bCs/>
          <w:color w:val="002C77"/>
          <w:sz w:val="20"/>
          <w:szCs w:val="20"/>
          <w:lang w:eastAsia="en-GB"/>
        </w:rPr>
      </w:pPr>
      <w:r w:rsidRPr="00D267A1">
        <w:rPr>
          <w:rFonts w:ascii="Arial" w:eastAsia="Times New Roman" w:hAnsi="Arial" w:cs="Arial"/>
          <w:b/>
          <w:bCs/>
          <w:color w:val="002C77"/>
          <w:sz w:val="20"/>
          <w:szCs w:val="20"/>
          <w:u w:val="single"/>
          <w:lang w:eastAsia="en-GB"/>
        </w:rPr>
        <w:t>Professional/Institutional Investor representation</w:t>
      </w:r>
    </w:p>
    <w:p w14:paraId="7F6FE538" w14:textId="63E83A9C"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 xml:space="preserve">If, having considered and understood the above, you are certain that you would be categorised as a “professional client” or “eligible counterparty”, as defined by the FCA, </w:t>
      </w:r>
      <w:r w:rsidR="0072240D">
        <w:rPr>
          <w:rFonts w:ascii="Arial" w:eastAsia="Times New Roman" w:hAnsi="Arial" w:cs="Arial"/>
          <w:sz w:val="20"/>
          <w:szCs w:val="20"/>
          <w:lang w:eastAsia="en-GB"/>
        </w:rPr>
        <w:t xml:space="preserve">you may use this website and accordingly </w:t>
      </w:r>
      <w:r w:rsidRPr="00D267A1">
        <w:rPr>
          <w:rFonts w:ascii="Arial" w:eastAsia="Times New Roman" w:hAnsi="Arial" w:cs="Arial"/>
          <w:sz w:val="20"/>
          <w:szCs w:val="20"/>
          <w:lang w:eastAsia="en-GB"/>
        </w:rPr>
        <w:t xml:space="preserve">signify </w:t>
      </w:r>
      <w:r w:rsidR="0072240D">
        <w:rPr>
          <w:rFonts w:ascii="Arial" w:eastAsia="Times New Roman" w:hAnsi="Arial" w:cs="Arial"/>
          <w:sz w:val="20"/>
          <w:szCs w:val="20"/>
          <w:lang w:eastAsia="en-GB"/>
        </w:rPr>
        <w:t xml:space="preserve">that you are </w:t>
      </w:r>
      <w:r w:rsidRPr="00D267A1">
        <w:rPr>
          <w:rFonts w:ascii="Arial" w:eastAsia="Times New Roman" w:hAnsi="Arial" w:cs="Arial"/>
          <w:sz w:val="20"/>
          <w:szCs w:val="20"/>
          <w:lang w:eastAsia="en-GB"/>
        </w:rPr>
        <w:t xml:space="preserve">making </w:t>
      </w:r>
      <w:bookmarkStart w:id="0" w:name="_GoBack"/>
      <w:bookmarkEnd w:id="0"/>
      <w:r w:rsidRPr="00D267A1">
        <w:rPr>
          <w:rFonts w:ascii="Arial" w:eastAsia="Times New Roman" w:hAnsi="Arial" w:cs="Arial"/>
          <w:sz w:val="20"/>
          <w:szCs w:val="20"/>
          <w:lang w:eastAsia="en-GB"/>
        </w:rPr>
        <w:t>the following representation to us:</w:t>
      </w:r>
    </w:p>
    <w:p w14:paraId="02B99626" w14:textId="77777777" w:rsidR="00C734CA" w:rsidRPr="00D267A1" w:rsidRDefault="00C734CA" w:rsidP="00C734CA">
      <w:pPr>
        <w:spacing w:after="0" w:line="240" w:lineRule="auto"/>
        <w:rPr>
          <w:rFonts w:ascii="Arial" w:eastAsia="Times New Roman" w:hAnsi="Arial" w:cs="Arial"/>
          <w:sz w:val="20"/>
          <w:szCs w:val="20"/>
          <w:lang w:eastAsia="en-GB"/>
        </w:rPr>
      </w:pPr>
    </w:p>
    <w:p w14:paraId="24C1EC93"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i/>
          <w:iCs/>
          <w:sz w:val="20"/>
          <w:szCs w:val="20"/>
          <w:lang w:eastAsia="en-GB"/>
        </w:rPr>
        <w:t>“I confirm that I have read and accept the information provided above. I have considered my regulatory status and, to the extent I felt necessary, obtained professional advice in this regard.</w:t>
      </w:r>
    </w:p>
    <w:p w14:paraId="3E9D82CB" w14:textId="77777777" w:rsidR="00C734CA" w:rsidRPr="00D267A1" w:rsidRDefault="00C734CA" w:rsidP="00C734CA">
      <w:pPr>
        <w:spacing w:after="0" w:line="240" w:lineRule="auto"/>
        <w:rPr>
          <w:rFonts w:ascii="Arial" w:eastAsia="Times New Roman" w:hAnsi="Arial" w:cs="Arial"/>
          <w:sz w:val="20"/>
          <w:szCs w:val="20"/>
          <w:lang w:eastAsia="en-GB"/>
        </w:rPr>
      </w:pPr>
    </w:p>
    <w:p w14:paraId="3BAF89DA" w14:textId="77777777" w:rsidR="00C734CA" w:rsidRPr="00D267A1" w:rsidRDefault="00C734CA" w:rsidP="00C734CA">
      <w:pPr>
        <w:spacing w:after="0" w:line="225" w:lineRule="atLeast"/>
        <w:rPr>
          <w:rFonts w:ascii="Arial" w:eastAsia="Times New Roman" w:hAnsi="Arial" w:cs="Arial"/>
          <w:sz w:val="20"/>
          <w:szCs w:val="20"/>
          <w:lang w:eastAsia="en-GB"/>
        </w:rPr>
      </w:pPr>
      <w:r w:rsidRPr="00D267A1">
        <w:rPr>
          <w:rFonts w:ascii="Arial" w:eastAsia="Times New Roman" w:hAnsi="Arial" w:cs="Arial"/>
          <w:i/>
          <w:iCs/>
          <w:sz w:val="20"/>
          <w:szCs w:val="20"/>
          <w:lang w:eastAsia="en-GB"/>
        </w:rPr>
        <w:t>I am a person resident in the United Kingdom who would be categorised as either a ‘professional client’ or an ‘eligible counterparty’, as defined in the Glossary of the United Kingdom’s Financial Conduct Authority. For the avoidance of doubt, I am not a person who would be categorised as a ‘retail client’, as defined in the Glossary of the United Kingdom’s Financial Conduct Authority.”</w:t>
      </w:r>
    </w:p>
    <w:p w14:paraId="6E9D8DBC" w14:textId="77777777" w:rsidR="00D267A1" w:rsidRPr="00D267A1" w:rsidRDefault="00D267A1" w:rsidP="00D267A1">
      <w:pPr>
        <w:spacing w:after="0" w:line="210" w:lineRule="atLeast"/>
        <w:rPr>
          <w:rFonts w:ascii="Arial" w:eastAsia="Times New Roman" w:hAnsi="Arial" w:cs="Arial"/>
          <w:sz w:val="20"/>
          <w:szCs w:val="20"/>
          <w:lang w:eastAsia="en-GB"/>
        </w:rPr>
      </w:pPr>
    </w:p>
    <w:p w14:paraId="50C413B6" w14:textId="77777777" w:rsidR="00C734CA" w:rsidRPr="00D267A1" w:rsidRDefault="00C734CA" w:rsidP="00D267A1">
      <w:pPr>
        <w:spacing w:after="0" w:line="210" w:lineRule="atLeast"/>
        <w:rPr>
          <w:rFonts w:ascii="Arial" w:eastAsia="Times New Roman" w:hAnsi="Arial" w:cs="Arial"/>
          <w:sz w:val="20"/>
          <w:szCs w:val="20"/>
          <w:lang w:eastAsia="en-GB"/>
        </w:rPr>
      </w:pPr>
      <w:r w:rsidRPr="00D267A1">
        <w:rPr>
          <w:rFonts w:ascii="Arial" w:eastAsia="Times New Roman" w:hAnsi="Arial" w:cs="Arial"/>
          <w:sz w:val="20"/>
          <w:szCs w:val="20"/>
          <w:lang w:eastAsia="en-GB"/>
        </w:rPr>
        <w:t>© RBC Dominion Securities Inc. 2001, 2003, 2010 rbccm.com is an online information service operated by RBC Dominion Securities Inc. and the other businesses and legal entities operating under the brand name RBC Capital Markets.</w:t>
      </w:r>
    </w:p>
    <w:p w14:paraId="0D35090F" w14:textId="77777777" w:rsidR="005A3984" w:rsidRPr="00D267A1" w:rsidRDefault="00630B8C">
      <w:pPr>
        <w:rPr>
          <w:rFonts w:ascii="Arial" w:hAnsi="Arial" w:cs="Arial"/>
          <w:sz w:val="20"/>
          <w:szCs w:val="20"/>
        </w:rPr>
      </w:pPr>
    </w:p>
    <w:sectPr w:rsidR="005A3984" w:rsidRPr="00D267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F6368"/>
    <w:multiLevelType w:val="multilevel"/>
    <w:tmpl w:val="A7E8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544B3"/>
    <w:multiLevelType w:val="multilevel"/>
    <w:tmpl w:val="750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CA"/>
    <w:rsid w:val="00343873"/>
    <w:rsid w:val="006733FB"/>
    <w:rsid w:val="0072240D"/>
    <w:rsid w:val="00AF7029"/>
    <w:rsid w:val="00C734CA"/>
    <w:rsid w:val="00D267A1"/>
    <w:rsid w:val="00FE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2D0"/>
  <w15:chartTrackingRefBased/>
  <w15:docId w15:val="{854CCBA5-546B-45EB-A328-57C40D81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734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4C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73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34CA"/>
    <w:rPr>
      <w:color w:val="0000FF"/>
      <w:u w:val="single"/>
    </w:rPr>
  </w:style>
  <w:style w:type="character" w:styleId="CommentReference">
    <w:name w:val="annotation reference"/>
    <w:basedOn w:val="DefaultParagraphFont"/>
    <w:uiPriority w:val="99"/>
    <w:semiHidden/>
    <w:unhideWhenUsed/>
    <w:rsid w:val="00C734CA"/>
    <w:rPr>
      <w:sz w:val="16"/>
      <w:szCs w:val="16"/>
    </w:rPr>
  </w:style>
  <w:style w:type="paragraph" w:styleId="CommentText">
    <w:name w:val="annotation text"/>
    <w:basedOn w:val="Normal"/>
    <w:link w:val="CommentTextChar"/>
    <w:uiPriority w:val="99"/>
    <w:semiHidden/>
    <w:unhideWhenUsed/>
    <w:rsid w:val="00C734CA"/>
    <w:pPr>
      <w:spacing w:line="240" w:lineRule="auto"/>
    </w:pPr>
    <w:rPr>
      <w:sz w:val="20"/>
      <w:szCs w:val="20"/>
    </w:rPr>
  </w:style>
  <w:style w:type="character" w:customStyle="1" w:styleId="CommentTextChar">
    <w:name w:val="Comment Text Char"/>
    <w:basedOn w:val="DefaultParagraphFont"/>
    <w:link w:val="CommentText"/>
    <w:uiPriority w:val="99"/>
    <w:semiHidden/>
    <w:rsid w:val="00C734CA"/>
    <w:rPr>
      <w:sz w:val="20"/>
      <w:szCs w:val="20"/>
    </w:rPr>
  </w:style>
  <w:style w:type="paragraph" w:styleId="CommentSubject">
    <w:name w:val="annotation subject"/>
    <w:basedOn w:val="CommentText"/>
    <w:next w:val="CommentText"/>
    <w:link w:val="CommentSubjectChar"/>
    <w:uiPriority w:val="99"/>
    <w:semiHidden/>
    <w:unhideWhenUsed/>
    <w:rsid w:val="00C734CA"/>
    <w:rPr>
      <w:b/>
      <w:bCs/>
    </w:rPr>
  </w:style>
  <w:style w:type="character" w:customStyle="1" w:styleId="CommentSubjectChar">
    <w:name w:val="Comment Subject Char"/>
    <w:basedOn w:val="CommentTextChar"/>
    <w:link w:val="CommentSubject"/>
    <w:uiPriority w:val="99"/>
    <w:semiHidden/>
    <w:rsid w:val="00C734CA"/>
    <w:rPr>
      <w:b/>
      <w:bCs/>
      <w:sz w:val="20"/>
      <w:szCs w:val="20"/>
    </w:rPr>
  </w:style>
  <w:style w:type="paragraph" w:styleId="BalloonText">
    <w:name w:val="Balloon Text"/>
    <w:basedOn w:val="Normal"/>
    <w:link w:val="BalloonTextChar"/>
    <w:uiPriority w:val="99"/>
    <w:semiHidden/>
    <w:unhideWhenUsed/>
    <w:rsid w:val="00C7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275">
      <w:bodyDiv w:val="1"/>
      <w:marLeft w:val="0"/>
      <w:marRight w:val="0"/>
      <w:marTop w:val="0"/>
      <w:marBottom w:val="0"/>
      <w:divBdr>
        <w:top w:val="none" w:sz="0" w:space="0" w:color="auto"/>
        <w:left w:val="none" w:sz="0" w:space="0" w:color="auto"/>
        <w:bottom w:val="none" w:sz="0" w:space="0" w:color="auto"/>
        <w:right w:val="none" w:sz="0" w:space="0" w:color="auto"/>
      </w:divBdr>
      <w:divsChild>
        <w:div w:id="1132091610">
          <w:marLeft w:val="0"/>
          <w:marRight w:val="0"/>
          <w:marTop w:val="0"/>
          <w:marBottom w:val="0"/>
          <w:divBdr>
            <w:top w:val="none" w:sz="0" w:space="0" w:color="auto"/>
            <w:left w:val="none" w:sz="0" w:space="0" w:color="auto"/>
            <w:bottom w:val="none" w:sz="0" w:space="0" w:color="auto"/>
            <w:right w:val="none" w:sz="0" w:space="0" w:color="auto"/>
          </w:divBdr>
          <w:divsChild>
            <w:div w:id="1368797279">
              <w:marLeft w:val="0"/>
              <w:marRight w:val="0"/>
              <w:marTop w:val="0"/>
              <w:marBottom w:val="0"/>
              <w:divBdr>
                <w:top w:val="none" w:sz="0" w:space="0" w:color="auto"/>
                <w:left w:val="none" w:sz="0" w:space="0" w:color="auto"/>
                <w:bottom w:val="none" w:sz="0" w:space="0" w:color="auto"/>
                <w:right w:val="none" w:sz="0" w:space="0" w:color="auto"/>
              </w:divBdr>
              <w:divsChild>
                <w:div w:id="1526287664">
                  <w:marLeft w:val="0"/>
                  <w:marRight w:val="0"/>
                  <w:marTop w:val="0"/>
                  <w:marBottom w:val="0"/>
                  <w:divBdr>
                    <w:top w:val="none" w:sz="0" w:space="0" w:color="auto"/>
                    <w:left w:val="none" w:sz="0" w:space="0" w:color="auto"/>
                    <w:bottom w:val="none" w:sz="0" w:space="0" w:color="auto"/>
                    <w:right w:val="none" w:sz="0" w:space="0" w:color="auto"/>
                  </w:divBdr>
                  <w:divsChild>
                    <w:div w:id="20583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Louise (She/Her/Hers)</dc:creator>
  <cp:keywords/>
  <dc:description/>
  <cp:lastModifiedBy>Robinson, Louise (She/Her/Hers)</cp:lastModifiedBy>
  <cp:revision>4</cp:revision>
  <dcterms:created xsi:type="dcterms:W3CDTF">2024-03-19T11:21:00Z</dcterms:created>
  <dcterms:modified xsi:type="dcterms:W3CDTF">2024-04-08T13:59:00Z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1692fd-22c0-4d57-8827-ca1b33aa058d_Enabled">
    <vt:lpwstr>true</vt:lpwstr>
  </property>
  <property fmtid="{D5CDD505-2E9C-101B-9397-08002B2CF9AE}" pid="3" name="MSIP_Label_f01692fd-22c0-4d57-8827-ca1b33aa058d_Method">
    <vt:lpwstr>Privileged</vt:lpwstr>
  </property>
  <property fmtid="{D5CDD505-2E9C-101B-9397-08002B2CF9AE}" pid="4" name="MSIP_Label_f01692fd-22c0-4d57-8827-ca1b33aa058d_SiteId">
    <vt:lpwstr>9323b596-236d-4890-bed3-60232a849027</vt:lpwstr>
  </property>
  <property fmtid="{D5CDD505-2E9C-101B-9397-08002B2CF9AE}" pid="5" name="Classification">
    <vt:lpwstr>TT_RBC_Internal</vt:lpwstr>
  </property>
</Properties>
</file>